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DD42DE" w:rsidRDefault="00DE7870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990406" w:rsidRDefault="00990406" w:rsidP="00E30EA9">
      <w:pPr>
        <w:ind w:left="5103"/>
        <w:rPr>
          <w:rFonts w:cs="Times New Roman"/>
          <w:szCs w:val="28"/>
        </w:rPr>
      </w:pPr>
    </w:p>
    <w:p w:rsidR="00DE7870" w:rsidRPr="00146E5F" w:rsidRDefault="00DE7870" w:rsidP="00DE7870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 w:rsidR="00990406"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CE6C91" w:rsidRDefault="00DE7870" w:rsidP="00B86259">
      <w:pPr>
        <w:ind w:right="-1" w:firstLine="0"/>
        <w:jc w:val="center"/>
        <w:rPr>
          <w:rFonts w:cs="Times New Roman"/>
          <w:szCs w:val="28"/>
        </w:rPr>
      </w:pPr>
      <w:proofErr w:type="gramStart"/>
      <w:r w:rsidRPr="00146E5F">
        <w:rPr>
          <w:rFonts w:cs="Times New Roman"/>
          <w:b/>
          <w:szCs w:val="28"/>
        </w:rPr>
        <w:t>вносим</w:t>
      </w:r>
      <w:r w:rsidR="00990406"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>е</w:t>
      </w:r>
      <w:proofErr w:type="gramEnd"/>
      <w:r w:rsidRPr="00146E5F">
        <w:rPr>
          <w:rFonts w:cs="Times New Roman"/>
          <w:b/>
          <w:szCs w:val="28"/>
        </w:rPr>
        <w:t xml:space="preserve"> в </w:t>
      </w:r>
      <w:r w:rsidR="00990406">
        <w:rPr>
          <w:rFonts w:cs="Times New Roman"/>
          <w:b/>
          <w:szCs w:val="28"/>
        </w:rPr>
        <w:t>р</w:t>
      </w:r>
      <w:r w:rsidR="00990406"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DE7870" w:rsidRPr="00146E5F" w:rsidRDefault="00DE7870" w:rsidP="00DE7870">
      <w:pPr>
        <w:jc w:val="both"/>
        <w:rPr>
          <w:rFonts w:cs="Times New Roman"/>
          <w:szCs w:val="28"/>
        </w:rPr>
      </w:pPr>
    </w:p>
    <w:p w:rsidR="00916E65" w:rsidRDefault="00990406" w:rsidP="00916E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16E65" w:rsidRPr="003C5EE1">
        <w:rPr>
          <w:rFonts w:cs="Times New Roman"/>
          <w:szCs w:val="28"/>
        </w:rPr>
        <w:t>ополнить пунктом 9 следующего содержания:</w:t>
      </w:r>
    </w:p>
    <w:p w:rsidR="00990406" w:rsidRPr="003C5EE1" w:rsidRDefault="00990406" w:rsidP="00916E65">
      <w:pPr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990406" w:rsidRPr="005C052C" w:rsidTr="00B86259">
        <w:tc>
          <w:tcPr>
            <w:tcW w:w="687" w:type="dxa"/>
          </w:tcPr>
          <w:p w:rsidR="00990406" w:rsidRDefault="00990406" w:rsidP="00990406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990406" w:rsidRPr="005C052C" w:rsidRDefault="00990406" w:rsidP="00B8625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990406" w:rsidRPr="003C5EE1" w:rsidTr="00B86259">
        <w:tc>
          <w:tcPr>
            <w:tcW w:w="687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990406" w:rsidRPr="003C5EE1" w:rsidRDefault="00990406" w:rsidP="00B86259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</w:t>
            </w:r>
            <w:proofErr w:type="spellStart"/>
            <w:r w:rsidRPr="003C5EE1">
              <w:rPr>
                <w:rFonts w:cs="Times New Roman"/>
                <w:szCs w:val="28"/>
              </w:rPr>
              <w:t>Ярославльагропромтехснаб</w:t>
            </w:r>
            <w:proofErr w:type="spellEnd"/>
            <w:r w:rsidRPr="003C5EE1">
              <w:rPr>
                <w:rFonts w:cs="Times New Roman"/>
                <w:szCs w:val="28"/>
              </w:rPr>
              <w:t>»</w:t>
            </w:r>
          </w:p>
        </w:tc>
        <w:tc>
          <w:tcPr>
            <w:tcW w:w="2835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916E65" w:rsidRPr="00146E5F" w:rsidRDefault="00916E65" w:rsidP="00916E65">
      <w:pPr>
        <w:jc w:val="both"/>
        <w:rPr>
          <w:rFonts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headerReference w:type="default" r:id="rId1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DE7870" w:rsidRPr="00146E5F" w:rsidRDefault="00DE7870" w:rsidP="00DE7870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</w:t>
            </w:r>
            <w:proofErr w:type="gramEnd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990406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Яркоммунсервис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Тутаевская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 xml:space="preserve">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Ярдорслужба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990406" w:rsidRDefault="00990406" w:rsidP="00DE7870">
      <w:pPr>
        <w:spacing w:line="232" w:lineRule="auto"/>
        <w:ind w:left="5103" w:firstLine="0"/>
        <w:rPr>
          <w:rFonts w:eastAsia="Calibri"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Приложение 4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46703E" w:rsidRDefault="00DE7870" w:rsidP="00DE7870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</w:p>
    <w:p w:rsidR="00DE7870" w:rsidRPr="0046703E" w:rsidRDefault="00DE7870" w:rsidP="00DE7870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 w:rsidR="00990406"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/>
      </w:tblPr>
      <w:tblGrid>
        <w:gridCol w:w="687"/>
        <w:gridCol w:w="5834"/>
        <w:gridCol w:w="2835"/>
      </w:tblGrid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DE7870" w:rsidRPr="0046703E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Приложение 5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 w:rsidR="00990406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DE7870" w:rsidRPr="00B86259" w:rsidRDefault="00DE7870" w:rsidP="00DE7870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 w:rsidR="003036C3">
        <w:rPr>
          <w:rFonts w:eastAsia="Calibri"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bookmarkStart w:id="1" w:name="sub_2100"/>
      <w:r>
        <w:rPr>
          <w:rFonts w:eastAsia="Calibri" w:cs="Times New Roman"/>
          <w:szCs w:val="28"/>
        </w:rPr>
        <w:t>3</w:t>
      </w:r>
      <w:r w:rsidR="00DE7870"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DE7870"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DE7870" w:rsidRPr="00146E5F">
        <w:rPr>
          <w:rFonts w:eastAsia="Calibri" w:cs="Times New Roman"/>
          <w:szCs w:val="28"/>
        </w:rPr>
        <w:t>. Оказание социальной помощи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ребенком</w:t>
      </w:r>
    </w:p>
    <w:bookmarkEnd w:id="1"/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="00DE7870"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="00DE7870"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погребение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 w:rsidR="000C18C7"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DE7870"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дополнительное питание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="00DE7870"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DE7870"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="00DE7870"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990406" w:rsidRDefault="00990406" w:rsidP="00DE7870">
      <w:pPr>
        <w:spacing w:line="232" w:lineRule="auto"/>
        <w:ind w:firstLine="5103"/>
        <w:jc w:val="both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Приложение 6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 w:rsidR="00990406">
        <w:rPr>
          <w:rFonts w:cs="Times New Roman"/>
          <w:szCs w:val="28"/>
        </w:rPr>
        <w:t>)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42361" w:rsidRDefault="00442361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 w:rsidR="00442361"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="00442361" w:rsidRPr="00442361">
        <w:rPr>
          <w:rFonts w:eastAsia="Calibri" w:cs="Times New Roman"/>
          <w:b/>
          <w:szCs w:val="28"/>
        </w:rPr>
        <w:t>и офисов</w:t>
      </w:r>
      <w:r w:rsidR="00442361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0C18C7">
        <w:rPr>
          <w:rFonts w:eastAsia="Calibri" w:cs="Times New Roman"/>
          <w:b/>
          <w:szCs w:val="28"/>
        </w:rPr>
        <w:t>ипальных услуг»</w:t>
      </w:r>
      <w:r w:rsidR="00442361">
        <w:rPr>
          <w:rFonts w:eastAsia="Calibri" w:cs="Times New Roman"/>
          <w:b/>
          <w:szCs w:val="28"/>
        </w:rPr>
        <w:t>,</w:t>
      </w:r>
      <w:r w:rsidR="00442361"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DE7870" w:rsidRPr="00990406" w:rsidTr="00B8625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B86259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gramEnd"/>
            <w:r w:rsidRPr="00B86259">
              <w:rPr>
                <w:rFonts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DE7870" w:rsidRPr="00146E5F" w:rsidRDefault="00DE7870" w:rsidP="00DE7870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DE7870" w:rsidRPr="00146E5F" w:rsidTr="00B8625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DE7870" w:rsidRPr="00146E5F" w:rsidTr="00B8625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Красноперекопскому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Батова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Переславский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 w:rsidR="004C4826"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Угличский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Тутаевский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г. Ростов, ул. Ленинская,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152240,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 Гаврилов-Ям, ул. Кирова, д. 3а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 w:rsidR="004C4826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 w:rsidR="004C4826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Мышкин, ул.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Новый Некоуз, ул. Ленина,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Брейтово, ул. Республиканская,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Данилов, ул. Володарского, д. 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Любим, ул. Октябрьская, д.11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 w:rsidR="004C4826"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B80C05" w:rsidTr="00B8625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Даниловская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0C05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E30EA9" w:rsidRDefault="004C4826" w:rsidP="00B86259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sectPr w:rsidR="00E30EA9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3A" w:rsidRDefault="00DB6E3A" w:rsidP="00E30EA9">
      <w:r>
        <w:separator/>
      </w:r>
    </w:p>
  </w:endnote>
  <w:endnote w:type="continuationSeparator" w:id="0">
    <w:p w:rsidR="00DB6E3A" w:rsidRDefault="00DB6E3A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3A" w:rsidRDefault="00DB6E3A" w:rsidP="00E30EA9">
      <w:r>
        <w:separator/>
      </w:r>
    </w:p>
  </w:footnote>
  <w:footnote w:type="continuationSeparator" w:id="0">
    <w:p w:rsidR="00DB6E3A" w:rsidRDefault="00DB6E3A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5E5245" w:rsidRDefault="00350919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C1296A">
          <w:rPr>
            <w:noProof/>
          </w:rPr>
          <w:t>3</w:t>
        </w:r>
        <w:r>
          <w:fldChar w:fldCharType="end"/>
        </w:r>
      </w:p>
    </w:sdtContent>
  </w:sdt>
  <w:p w:rsidR="00990406" w:rsidRPr="00532191" w:rsidRDefault="00990406" w:rsidP="0099040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1B2"/>
    <w:rsid w:val="00062580"/>
    <w:rsid w:val="00064332"/>
    <w:rsid w:val="000C18C7"/>
    <w:rsid w:val="000E7FBF"/>
    <w:rsid w:val="001C78DA"/>
    <w:rsid w:val="002306C4"/>
    <w:rsid w:val="002322FC"/>
    <w:rsid w:val="002D63E5"/>
    <w:rsid w:val="00300C01"/>
    <w:rsid w:val="003036C3"/>
    <w:rsid w:val="00314003"/>
    <w:rsid w:val="00350919"/>
    <w:rsid w:val="0038047A"/>
    <w:rsid w:val="003943BC"/>
    <w:rsid w:val="003A2DCC"/>
    <w:rsid w:val="003A5060"/>
    <w:rsid w:val="003A7D0D"/>
    <w:rsid w:val="003D1E8D"/>
    <w:rsid w:val="004062E5"/>
    <w:rsid w:val="0040656C"/>
    <w:rsid w:val="00442361"/>
    <w:rsid w:val="004C077F"/>
    <w:rsid w:val="004C4826"/>
    <w:rsid w:val="005060D4"/>
    <w:rsid w:val="0052400C"/>
    <w:rsid w:val="00540A09"/>
    <w:rsid w:val="00544401"/>
    <w:rsid w:val="005661FA"/>
    <w:rsid w:val="005D58AB"/>
    <w:rsid w:val="005E5245"/>
    <w:rsid w:val="00600C8A"/>
    <w:rsid w:val="00665DF1"/>
    <w:rsid w:val="006C019E"/>
    <w:rsid w:val="00916E65"/>
    <w:rsid w:val="00934782"/>
    <w:rsid w:val="00990406"/>
    <w:rsid w:val="00A207A4"/>
    <w:rsid w:val="00A417AD"/>
    <w:rsid w:val="00A64C68"/>
    <w:rsid w:val="00AA1FB1"/>
    <w:rsid w:val="00AE3646"/>
    <w:rsid w:val="00B86259"/>
    <w:rsid w:val="00BB1812"/>
    <w:rsid w:val="00BD6096"/>
    <w:rsid w:val="00BF50C4"/>
    <w:rsid w:val="00C1296A"/>
    <w:rsid w:val="00C909D4"/>
    <w:rsid w:val="00CE6C91"/>
    <w:rsid w:val="00D00EFB"/>
    <w:rsid w:val="00D50E1C"/>
    <w:rsid w:val="00D72C55"/>
    <w:rsid w:val="00D756F3"/>
    <w:rsid w:val="00D868AE"/>
    <w:rsid w:val="00DB6E3A"/>
    <w:rsid w:val="00DD42DE"/>
    <w:rsid w:val="00DE71B2"/>
    <w:rsid w:val="00DE7870"/>
    <w:rsid w:val="00DF7C1D"/>
    <w:rsid w:val="00E013E1"/>
    <w:rsid w:val="00E01F2F"/>
    <w:rsid w:val="00E1407E"/>
    <w:rsid w:val="00E30EA9"/>
    <w:rsid w:val="00E57D5D"/>
    <w:rsid w:val="00EC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2020-04-09T11:27:00Z</cp:lastPrinted>
  <dcterms:created xsi:type="dcterms:W3CDTF">2020-04-10T14:22:00Z</dcterms:created>
  <dcterms:modified xsi:type="dcterms:W3CDTF">2020-04-10T14:22:00Z</dcterms:modified>
</cp:coreProperties>
</file>